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5A0" w:rsidRDefault="004D49F6" w:rsidP="00DA3363">
      <w:pPr>
        <w:pStyle w:val="Heading1"/>
        <w:spacing w:before="85"/>
        <w:rPr>
          <w:color w:val="FF0000"/>
        </w:rPr>
      </w:pPr>
      <w:r>
        <w:rPr>
          <w:color w:val="FF0000"/>
        </w:rPr>
        <w:t>SECCIÓN I. Identificación del producto químico y de la empresa</w:t>
      </w:r>
    </w:p>
    <w:p w:rsidR="00DA3363" w:rsidRDefault="00DA3363" w:rsidP="00DA3363">
      <w:pPr>
        <w:pStyle w:val="Heading1"/>
        <w:spacing w:before="85"/>
        <w:rPr>
          <w:color w:val="FF0000"/>
        </w:rPr>
      </w:pPr>
    </w:p>
    <w:p w:rsidR="00DA3363" w:rsidRDefault="00DA3363" w:rsidP="00DA3363">
      <w:pPr>
        <w:pStyle w:val="BodyText"/>
        <w:tabs>
          <w:tab w:val="left" w:pos="2790"/>
        </w:tabs>
      </w:pPr>
      <w:r>
        <w:t>Nombre del producto:</w:t>
      </w:r>
      <w:r>
        <w:tab/>
        <w:t>Bastón de espuma sólida para extinguir incendios</w:t>
      </w:r>
    </w:p>
    <w:p w:rsidR="00DA3363" w:rsidRPr="002E00DB" w:rsidRDefault="00DA3363" w:rsidP="00DA3363">
      <w:pPr>
        <w:pStyle w:val="BodyText"/>
        <w:tabs>
          <w:tab w:val="left" w:pos="2790"/>
        </w:tabs>
        <w:ind w:left="2786" w:right="-450" w:hanging="2685"/>
      </w:pPr>
      <w:r>
        <w:t>Uso del producto:</w:t>
      </w:r>
      <w:r>
        <w:tab/>
        <w:t>Agente cilíndrico de espuma sólida para usar en determinadas boquillas para espumas extintoras de incendios de tipo cartucho</w:t>
      </w:r>
    </w:p>
    <w:p w:rsidR="00DA3363" w:rsidRDefault="00DA3363" w:rsidP="00DA3363">
      <w:pPr>
        <w:pStyle w:val="BodyText"/>
        <w:tabs>
          <w:tab w:val="left" w:pos="2790"/>
        </w:tabs>
        <w:ind w:left="101" w:right="1800"/>
      </w:pPr>
      <w:r>
        <w:t>Distribuidor:</w:t>
      </w:r>
      <w:r>
        <w:tab/>
        <w:t>Buckeye Fire Equipment Company</w:t>
      </w:r>
    </w:p>
    <w:p w:rsidR="00DA3363" w:rsidRPr="002E00DB" w:rsidRDefault="00DA3363" w:rsidP="00DA3363">
      <w:pPr>
        <w:pStyle w:val="BodyText"/>
        <w:tabs>
          <w:tab w:val="left" w:pos="2790"/>
        </w:tabs>
        <w:ind w:left="101" w:right="3712" w:firstLine="619"/>
      </w:pPr>
      <w:r>
        <w:tab/>
        <w:t>110 Kings Road</w:t>
      </w:r>
    </w:p>
    <w:p w:rsidR="00DA3363" w:rsidRDefault="00DA3363" w:rsidP="00DA3363">
      <w:pPr>
        <w:pStyle w:val="BodyText"/>
        <w:tabs>
          <w:tab w:val="left" w:pos="2790"/>
        </w:tabs>
        <w:ind w:left="101" w:right="1530" w:firstLine="619"/>
      </w:pPr>
      <w:r>
        <w:tab/>
        <w:t>Kings Mountain, NC 28086</w:t>
      </w:r>
    </w:p>
    <w:p w:rsidR="00DA3363" w:rsidRPr="002E00DB" w:rsidRDefault="00DA3363" w:rsidP="00DA3363">
      <w:pPr>
        <w:pStyle w:val="BodyText"/>
        <w:tabs>
          <w:tab w:val="left" w:pos="2790"/>
        </w:tabs>
        <w:ind w:left="101" w:right="4306"/>
      </w:pPr>
      <w:r>
        <w:t>Teléfono:</w:t>
      </w:r>
      <w:r>
        <w:tab/>
        <w:t>704.739.7415</w:t>
      </w:r>
    </w:p>
    <w:p w:rsidR="00DA3363" w:rsidRDefault="00DA3363" w:rsidP="00DA3363">
      <w:pPr>
        <w:pStyle w:val="BodyText"/>
        <w:tabs>
          <w:tab w:val="left" w:pos="2790"/>
        </w:tabs>
        <w:ind w:left="101" w:right="3712"/>
        <w:rPr>
          <w:color w:val="0562C1"/>
          <w:w w:val="95"/>
        </w:rPr>
      </w:pPr>
      <w:r>
        <w:t>Dirección web:</w:t>
      </w:r>
      <w:r>
        <w:tab/>
      </w:r>
      <w:hyperlink r:id="rId6">
        <w:r>
          <w:rPr>
            <w:color w:val="0562C1"/>
            <w:u w:val="single" w:color="0562C1"/>
          </w:rPr>
          <w:t>www.buckeyefire.com</w:t>
        </w:r>
      </w:hyperlink>
    </w:p>
    <w:p w:rsidR="00DA3363" w:rsidRPr="002E00DB" w:rsidRDefault="00DA3363" w:rsidP="00DA3363">
      <w:pPr>
        <w:pStyle w:val="BodyText"/>
        <w:tabs>
          <w:tab w:val="left" w:pos="2790"/>
        </w:tabs>
        <w:ind w:left="101" w:right="3712"/>
      </w:pPr>
      <w:r>
        <w:t>Dirección de correo electrónico:</w:t>
      </w:r>
      <w:r>
        <w:tab/>
      </w:r>
      <w:hyperlink r:id="rId7">
        <w:r>
          <w:rPr>
            <w:color w:val="0562C1"/>
            <w:u w:val="single" w:color="0562C1"/>
          </w:rPr>
          <w:t>bfec@buckeyef.com</w:t>
        </w:r>
      </w:hyperlink>
    </w:p>
    <w:p w:rsidR="00DA3363" w:rsidRDefault="00DA3363" w:rsidP="00DA3363">
      <w:pPr>
        <w:pStyle w:val="BodyText"/>
        <w:tabs>
          <w:tab w:val="left" w:pos="2790"/>
        </w:tabs>
        <w:ind w:left="2786" w:hanging="2685"/>
      </w:pPr>
      <w:r>
        <w:t>Uso recomendado:</w:t>
      </w:r>
      <w:r>
        <w:tab/>
      </w:r>
      <w:r w:rsidR="00FE1851">
        <w:t>E</w:t>
      </w:r>
      <w:r>
        <w:t>xtinción de incendios, no apto para su utilización como medicamento en seres humanos o animales.</w:t>
      </w:r>
    </w:p>
    <w:p w:rsidR="00DA3363" w:rsidRPr="002E00DB" w:rsidRDefault="00DA3363" w:rsidP="00DA3363">
      <w:pPr>
        <w:pStyle w:val="BodyText"/>
        <w:tabs>
          <w:tab w:val="left" w:pos="2790"/>
        </w:tabs>
        <w:ind w:left="101" w:right="1458"/>
      </w:pPr>
      <w:r>
        <w:t>Emergencia:</w:t>
      </w:r>
      <w:r>
        <w:tab/>
        <w:t>BUCKEYE 1.817.633 3626 o 1.877.391.3626</w:t>
      </w:r>
    </w:p>
    <w:p w:rsidR="00DA3363" w:rsidRPr="002E00DB" w:rsidRDefault="00DA3363" w:rsidP="00DA3363">
      <w:pPr>
        <w:pStyle w:val="BodyText"/>
        <w:tabs>
          <w:tab w:val="left" w:pos="2790"/>
        </w:tabs>
        <w:ind w:left="821" w:firstLine="619"/>
      </w:pPr>
      <w:r>
        <w:tab/>
        <w:t>CHEMTREC 1.800.424.9300</w:t>
      </w:r>
    </w:p>
    <w:p w:rsidR="00DA3363" w:rsidRPr="002E00DB" w:rsidRDefault="00DA3363" w:rsidP="00DA3363">
      <w:pPr>
        <w:pStyle w:val="BodyText"/>
        <w:tabs>
          <w:tab w:val="left" w:pos="2790"/>
        </w:tabs>
        <w:ind w:left="101"/>
      </w:pPr>
      <w:r>
        <w:t>Fecha de revisión:</w:t>
      </w:r>
      <w:r>
        <w:tab/>
        <w:t>03/19</w:t>
      </w:r>
    </w:p>
    <w:p w:rsidR="00DA3363" w:rsidRPr="002E00DB" w:rsidRDefault="00DA3363" w:rsidP="00DA3363">
      <w:pPr>
        <w:pStyle w:val="BodyText"/>
      </w:pPr>
    </w:p>
    <w:p w:rsidR="002D35A0" w:rsidRPr="002E00DB" w:rsidRDefault="004D49F6">
      <w:pPr>
        <w:pStyle w:val="Heading1"/>
        <w:spacing w:before="91"/>
      </w:pPr>
      <w:r>
        <w:rPr>
          <w:color w:val="FF0000"/>
        </w:rPr>
        <w:t>SECCIÓN II. Identificación de riesgos e información general de emergencia</w:t>
      </w:r>
    </w:p>
    <w:p w:rsidR="00B7147E" w:rsidRDefault="004D49F6" w:rsidP="00DA3363">
      <w:pPr>
        <w:spacing w:before="1" w:line="458" w:lineRule="exact"/>
        <w:ind w:left="100" w:right="3960"/>
        <w:rPr>
          <w:i/>
          <w:sz w:val="20"/>
        </w:rPr>
      </w:pPr>
      <w:r>
        <w:rPr>
          <w:i/>
          <w:sz w:val="20"/>
        </w:rPr>
        <w:t>Clasificación según SGA</w:t>
      </w:r>
    </w:p>
    <w:p w:rsidR="002D35A0" w:rsidRPr="002E00DB" w:rsidRDefault="004D49F6" w:rsidP="00DA3363">
      <w:pPr>
        <w:spacing w:before="1" w:line="458" w:lineRule="exact"/>
        <w:ind w:left="100" w:right="3420"/>
        <w:rPr>
          <w:i/>
          <w:sz w:val="20"/>
        </w:rPr>
      </w:pPr>
      <w:r>
        <w:rPr>
          <w:i/>
          <w:sz w:val="20"/>
        </w:rPr>
        <w:t>Elementos de la etiqueta del SGA:</w:t>
      </w:r>
    </w:p>
    <w:p w:rsidR="002D35A0" w:rsidRPr="002E00DB" w:rsidRDefault="00DA3363">
      <w:pPr>
        <w:pStyle w:val="BodyText"/>
        <w:spacing w:line="182" w:lineRule="exact"/>
        <w:ind w:left="820"/>
      </w:pPr>
      <w:r>
        <w:t>Símbolos de riesgos:</w:t>
      </w:r>
      <w:r>
        <w:tab/>
      </w:r>
      <w:r w:rsidR="004D49F6">
        <w:t>ADVERTENCIA</w:t>
      </w:r>
    </w:p>
    <w:p w:rsidR="002D35A0" w:rsidRPr="002E00DB" w:rsidRDefault="004D49F6">
      <w:pPr>
        <w:pStyle w:val="BodyText"/>
        <w:ind w:left="820"/>
      </w:pPr>
      <w:r>
        <w:t>Palabra de señalización:</w:t>
      </w:r>
      <w:r w:rsidR="00DA3363">
        <w:tab/>
      </w:r>
      <w:r>
        <w:t>NINGUNO</w:t>
      </w:r>
    </w:p>
    <w:p w:rsidR="002D35A0" w:rsidRPr="002E00DB" w:rsidRDefault="002D35A0">
      <w:pPr>
        <w:pStyle w:val="BodyText"/>
        <w:spacing w:before="10"/>
        <w:ind w:left="0"/>
        <w:rPr>
          <w:sz w:val="19"/>
        </w:rPr>
      </w:pPr>
    </w:p>
    <w:p w:rsidR="002D35A0" w:rsidRPr="002E00DB" w:rsidRDefault="004D49F6">
      <w:pPr>
        <w:ind w:left="100"/>
        <w:rPr>
          <w:i/>
          <w:sz w:val="20"/>
        </w:rPr>
      </w:pPr>
      <w:r>
        <w:rPr>
          <w:i/>
          <w:sz w:val="20"/>
        </w:rPr>
        <w:t>Indicaciones de peligros:</w:t>
      </w:r>
    </w:p>
    <w:p w:rsidR="002D35A0" w:rsidRPr="002E00DB" w:rsidRDefault="004D49F6">
      <w:pPr>
        <w:pStyle w:val="BodyText"/>
        <w:spacing w:before="1"/>
        <w:ind w:left="820"/>
      </w:pPr>
      <w:r>
        <w:t>H320 Causa irritación en los ojos.</w:t>
      </w:r>
    </w:p>
    <w:p w:rsidR="002D35A0" w:rsidRPr="002E00DB" w:rsidRDefault="002D35A0">
      <w:pPr>
        <w:pStyle w:val="BodyText"/>
        <w:ind w:left="0"/>
      </w:pPr>
    </w:p>
    <w:p w:rsidR="002D35A0" w:rsidRPr="002E00DB" w:rsidRDefault="004D49F6">
      <w:pPr>
        <w:spacing w:before="1"/>
        <w:ind w:left="100"/>
        <w:rPr>
          <w:i/>
          <w:sz w:val="20"/>
        </w:rPr>
      </w:pPr>
      <w:r>
        <w:rPr>
          <w:i/>
          <w:sz w:val="20"/>
        </w:rPr>
        <w:t>Consejos de prudencia:</w:t>
      </w:r>
    </w:p>
    <w:p w:rsidR="002E00DB" w:rsidRDefault="004D49F6" w:rsidP="00DA3363">
      <w:pPr>
        <w:pStyle w:val="BodyText"/>
        <w:tabs>
          <w:tab w:val="left" w:pos="2160"/>
        </w:tabs>
        <w:ind w:left="820" w:right="-540"/>
      </w:pPr>
      <w:r>
        <w:t xml:space="preserve">P101 </w:t>
      </w:r>
      <w:r w:rsidR="00DA3363">
        <w:tab/>
      </w:r>
      <w:r>
        <w:t>Si se necesita asesoramiento médico, tenga a mano el envase o la etiqueta del producto.</w:t>
      </w:r>
    </w:p>
    <w:p w:rsidR="002D35A0" w:rsidRPr="002E00DB" w:rsidRDefault="004D49F6" w:rsidP="00DA3363">
      <w:pPr>
        <w:pStyle w:val="BodyText"/>
        <w:tabs>
          <w:tab w:val="left" w:pos="2160"/>
        </w:tabs>
        <w:ind w:left="820" w:right="1688"/>
      </w:pPr>
      <w:r>
        <w:t xml:space="preserve">P102 </w:t>
      </w:r>
      <w:r w:rsidR="00DA3363">
        <w:tab/>
      </w:r>
      <w:r>
        <w:t>Mantenga fuera del alcance de los niños.</w:t>
      </w:r>
    </w:p>
    <w:p w:rsidR="002D35A0" w:rsidRPr="002E00DB" w:rsidRDefault="004D49F6" w:rsidP="00DA3363">
      <w:pPr>
        <w:pStyle w:val="BodyText"/>
        <w:tabs>
          <w:tab w:val="left" w:pos="2160"/>
        </w:tabs>
        <w:spacing w:line="228" w:lineRule="exact"/>
        <w:ind w:left="820"/>
      </w:pPr>
      <w:r>
        <w:t xml:space="preserve">P234 </w:t>
      </w:r>
      <w:r w:rsidR="00DA3363">
        <w:tab/>
      </w:r>
      <w:r>
        <w:t>Conserve en el envase original.</w:t>
      </w:r>
    </w:p>
    <w:p w:rsidR="002D35A0" w:rsidRPr="002E00DB" w:rsidRDefault="004D49F6" w:rsidP="00DA3363">
      <w:pPr>
        <w:pStyle w:val="BodyText"/>
        <w:tabs>
          <w:tab w:val="left" w:pos="2160"/>
        </w:tabs>
        <w:spacing w:before="1"/>
        <w:ind w:left="820"/>
      </w:pPr>
      <w:r>
        <w:t xml:space="preserve">P264 </w:t>
      </w:r>
      <w:r w:rsidR="00DA3363">
        <w:tab/>
      </w:r>
      <w:r>
        <w:t>Lávese bien las manos y la cara después de manipular el producto.</w:t>
      </w:r>
    </w:p>
    <w:p w:rsidR="002E00DB" w:rsidRDefault="004D49F6" w:rsidP="00DA3363">
      <w:pPr>
        <w:pStyle w:val="BodyText"/>
        <w:tabs>
          <w:tab w:val="left" w:pos="2160"/>
        </w:tabs>
        <w:ind w:left="820" w:right="478"/>
      </w:pPr>
      <w:r>
        <w:t>P301+322+331</w:t>
      </w:r>
      <w:r w:rsidR="00DA3363">
        <w:tab/>
      </w:r>
      <w:r>
        <w:t>En caso de ingestión, beba 2 o 3 vasos de agua y no induzca el vómito.</w:t>
      </w:r>
    </w:p>
    <w:p w:rsidR="002D35A0" w:rsidRPr="002E00DB" w:rsidRDefault="004D49F6" w:rsidP="00DA3363">
      <w:pPr>
        <w:pStyle w:val="BodyText"/>
        <w:tabs>
          <w:tab w:val="left" w:pos="2160"/>
        </w:tabs>
        <w:ind w:left="820" w:right="478"/>
      </w:pPr>
      <w:r>
        <w:t>P302+352</w:t>
      </w:r>
      <w:r w:rsidR="00DA3363">
        <w:tab/>
      </w:r>
      <w:r>
        <w:t>En caso de contacto con la piel, lave con agua y jabón.</w:t>
      </w:r>
    </w:p>
    <w:p w:rsidR="002D35A0" w:rsidRPr="002E00DB" w:rsidRDefault="004D49F6" w:rsidP="00DA3363">
      <w:pPr>
        <w:pStyle w:val="BodyText"/>
        <w:tabs>
          <w:tab w:val="left" w:pos="2160"/>
        </w:tabs>
        <w:spacing w:before="1"/>
        <w:ind w:left="2155" w:right="-180" w:hanging="1335"/>
      </w:pPr>
      <w:r>
        <w:t>P305+351+338</w:t>
      </w:r>
      <w:r w:rsidR="00DA3363">
        <w:tab/>
      </w:r>
      <w:r>
        <w:t>En caso de contacto con los ojos, enjuague cuidadosamente con agua durante varios minutos. Si tiene lentes de contacto y son fáciles de quitar, retírelos y siga enjuagando.</w:t>
      </w:r>
    </w:p>
    <w:p w:rsidR="002E00DB" w:rsidRDefault="004D49F6" w:rsidP="00DA3363">
      <w:pPr>
        <w:pStyle w:val="BodyText"/>
        <w:tabs>
          <w:tab w:val="left" w:pos="2160"/>
        </w:tabs>
        <w:ind w:left="820" w:right="90"/>
      </w:pPr>
      <w:r>
        <w:t>P337+</w:t>
      </w:r>
      <w:r w:rsidR="00DA3363">
        <w:t>313</w:t>
      </w:r>
      <w:r w:rsidR="00DA3363">
        <w:tab/>
      </w:r>
      <w:r>
        <w:t>Si la irritación en los ojos persiste, busque asistencia/atención médica.</w:t>
      </w:r>
    </w:p>
    <w:p w:rsidR="002D35A0" w:rsidRPr="002E00DB" w:rsidRDefault="004D49F6" w:rsidP="00DA3363">
      <w:pPr>
        <w:pStyle w:val="BodyText"/>
        <w:tabs>
          <w:tab w:val="left" w:pos="2160"/>
        </w:tabs>
        <w:ind w:left="820" w:right="-180"/>
      </w:pPr>
      <w:r>
        <w:t>P401+402+403 Almacene el producto dentro del envase original, en un lugar seco y bien ventilado.</w:t>
      </w:r>
    </w:p>
    <w:p w:rsidR="002D35A0" w:rsidRPr="002E00DB" w:rsidRDefault="004D49F6" w:rsidP="00FE1851">
      <w:pPr>
        <w:pStyle w:val="Heading1"/>
        <w:spacing w:before="95" w:after="120"/>
        <w:ind w:left="101"/>
      </w:pPr>
      <w:r>
        <w:rPr>
          <w:color w:val="FF0000"/>
        </w:rPr>
        <w:t>SECCIÓN III. Composición/información de los ingredientes</w:t>
      </w:r>
    </w:p>
    <w:tbl>
      <w:tblPr>
        <w:tblW w:w="0" w:type="auto"/>
        <w:tblInd w:w="824" w:type="dxa"/>
        <w:tblLayout w:type="fixed"/>
        <w:tblCellMar>
          <w:left w:w="0" w:type="dxa"/>
          <w:right w:w="0" w:type="dxa"/>
        </w:tblCellMar>
        <w:tblLook w:val="01E0" w:firstRow="1" w:lastRow="1" w:firstColumn="1" w:lastColumn="1" w:noHBand="0" w:noVBand="0"/>
      </w:tblPr>
      <w:tblGrid>
        <w:gridCol w:w="6016"/>
      </w:tblGrid>
      <w:tr w:rsidR="002D35A0" w:rsidRPr="002E00DB" w:rsidTr="00DA3363">
        <w:trPr>
          <w:trHeight w:val="209"/>
        </w:trPr>
        <w:tc>
          <w:tcPr>
            <w:tcW w:w="6016" w:type="dxa"/>
          </w:tcPr>
          <w:p w:rsidR="002D35A0" w:rsidRPr="002E00DB" w:rsidRDefault="004D49F6">
            <w:pPr>
              <w:pStyle w:val="TableParagraph"/>
              <w:spacing w:before="0" w:line="178" w:lineRule="exact"/>
              <w:rPr>
                <w:sz w:val="16"/>
              </w:rPr>
            </w:pPr>
            <w:r>
              <w:rPr>
                <w:sz w:val="16"/>
              </w:rPr>
              <w:t>Polímero patentado</w:t>
            </w:r>
          </w:p>
        </w:tc>
      </w:tr>
      <w:tr w:rsidR="002D35A0" w:rsidRPr="002E00DB" w:rsidTr="00DA3363">
        <w:trPr>
          <w:trHeight w:val="240"/>
        </w:trPr>
        <w:tc>
          <w:tcPr>
            <w:tcW w:w="6016" w:type="dxa"/>
          </w:tcPr>
          <w:p w:rsidR="002D35A0" w:rsidRPr="002E00DB" w:rsidRDefault="004D49F6">
            <w:pPr>
              <w:pStyle w:val="TableParagraph"/>
              <w:rPr>
                <w:sz w:val="16"/>
              </w:rPr>
            </w:pPr>
            <w:r>
              <w:rPr>
                <w:sz w:val="16"/>
              </w:rPr>
              <w:t>Surfactantes activos no iónicos</w:t>
            </w:r>
          </w:p>
        </w:tc>
      </w:tr>
      <w:tr w:rsidR="002D35A0" w:rsidRPr="002E00DB" w:rsidTr="00DA3363">
        <w:trPr>
          <w:trHeight w:val="209"/>
        </w:trPr>
        <w:tc>
          <w:tcPr>
            <w:tcW w:w="6016" w:type="dxa"/>
          </w:tcPr>
          <w:p w:rsidR="002D35A0" w:rsidRPr="002E00DB" w:rsidRDefault="004D49F6">
            <w:pPr>
              <w:pStyle w:val="TableParagraph"/>
              <w:spacing w:line="164" w:lineRule="exact"/>
              <w:rPr>
                <w:sz w:val="16"/>
              </w:rPr>
            </w:pPr>
            <w:r>
              <w:rPr>
                <w:sz w:val="16"/>
              </w:rPr>
              <w:t>Mezcla patentada de fluorosurfactantes y surfactantes hidrocarburos</w:t>
            </w:r>
          </w:p>
        </w:tc>
      </w:tr>
    </w:tbl>
    <w:p w:rsidR="002D35A0" w:rsidRPr="002E00DB" w:rsidRDefault="004D49F6">
      <w:pPr>
        <w:spacing w:before="114" w:line="249" w:lineRule="auto"/>
        <w:ind w:left="100" w:right="478"/>
        <w:rPr>
          <w:b/>
          <w:sz w:val="20"/>
        </w:rPr>
      </w:pPr>
      <w:r>
        <w:rPr>
          <w:b/>
          <w:sz w:val="20"/>
        </w:rPr>
        <w:t xml:space="preserve">Nota: </w:t>
      </w:r>
      <w:r w:rsidR="00FE1851">
        <w:rPr>
          <w:b/>
          <w:sz w:val="20"/>
        </w:rPr>
        <w:t>e</w:t>
      </w:r>
      <w:r>
        <w:rPr>
          <w:b/>
          <w:sz w:val="20"/>
        </w:rPr>
        <w:t>l bastón de espuma sólida para extinguir incendios Buckeye no contiene PFOS y no se descompondrá para producir PFOA de acuerdo con los objetivos del Programa de Administración del PFOA de US EPA 2010/15.</w:t>
      </w:r>
    </w:p>
    <w:p w:rsidR="002D35A0" w:rsidRPr="002E00DB" w:rsidRDefault="004D49F6">
      <w:pPr>
        <w:pStyle w:val="Heading1"/>
        <w:spacing w:before="169"/>
      </w:pPr>
      <w:r>
        <w:rPr>
          <w:color w:val="FF0000"/>
        </w:rPr>
        <w:t>SECCIÓN IV</w:t>
      </w:r>
      <w:r w:rsidR="00FE1851">
        <w:rPr>
          <w:color w:val="FF0000"/>
        </w:rPr>
        <w:t>.</w:t>
      </w:r>
      <w:r>
        <w:rPr>
          <w:color w:val="FF0000"/>
        </w:rPr>
        <w:t xml:space="preserve"> Medidas de primeros auxilios</w:t>
      </w:r>
    </w:p>
    <w:p w:rsidR="002D35A0" w:rsidRPr="002E00DB" w:rsidRDefault="004D49F6">
      <w:pPr>
        <w:pStyle w:val="BodyText"/>
        <w:spacing w:before="179"/>
        <w:ind w:right="478"/>
      </w:pPr>
      <w:r>
        <w:rPr>
          <w:i/>
        </w:rPr>
        <w:t>Contacto con los ojos</w:t>
      </w:r>
      <w:r>
        <w:t>: enjuague los ojos en una estación de lavado de ojos durante 15 minutos y repita hasta que el dolor desaparezca. Si se presenta irritación o si esta persiste, o si se producen cambios en la visión, busque atención médica.</w:t>
      </w:r>
    </w:p>
    <w:p w:rsidR="002D35A0" w:rsidRPr="002E00DB" w:rsidRDefault="004D49F6">
      <w:pPr>
        <w:pStyle w:val="BodyText"/>
        <w:spacing w:before="186"/>
        <w:ind w:right="478"/>
      </w:pPr>
      <w:r>
        <w:rPr>
          <w:i/>
        </w:rPr>
        <w:t>Contacto con la piel</w:t>
      </w:r>
      <w:r>
        <w:t>: lave con abundante agua y jabón. Si se presenta irritación o si esta persiste, busque atención médica.</w:t>
      </w:r>
    </w:p>
    <w:p w:rsidR="00FE1851" w:rsidRDefault="004D49F6" w:rsidP="00DA3363">
      <w:pPr>
        <w:pStyle w:val="BodyText"/>
        <w:spacing w:before="183"/>
      </w:pPr>
      <w:r>
        <w:rPr>
          <w:i/>
        </w:rPr>
        <w:lastRenderedPageBreak/>
        <w:t>Inhalación</w:t>
      </w:r>
      <w:r>
        <w:t>: si se presenta irritación después de inhalar vapor/rocío lleve a la víctima al aire fresco. Si tiene dificultad para respirar, el personal capacitado puede administrar oxígeno. Si la irritación persiste, consulte a un médico.</w:t>
      </w:r>
    </w:p>
    <w:p w:rsidR="002D35A0" w:rsidRPr="002E00DB" w:rsidRDefault="004D49F6" w:rsidP="00DA3363">
      <w:pPr>
        <w:pStyle w:val="BodyText"/>
        <w:spacing w:before="183"/>
      </w:pPr>
      <w:r>
        <w:rPr>
          <w:i/>
        </w:rPr>
        <w:t>Ingestión</w:t>
      </w:r>
      <w:r>
        <w:t>: si la víctima está consciente y alerta, dele 2 o 3 vasos de agua para que beba. No deje a la víctima sin atención. Nunca induzca el vómito ni administre nada por vía oral si la víctima está inconsciente. Busque atención médica de inmediato.</w:t>
      </w:r>
    </w:p>
    <w:p w:rsidR="002D35A0" w:rsidRPr="002E00DB" w:rsidRDefault="004D49F6">
      <w:pPr>
        <w:spacing w:before="185"/>
        <w:ind w:left="100" w:right="312"/>
        <w:rPr>
          <w:sz w:val="20"/>
        </w:rPr>
      </w:pPr>
      <w:r>
        <w:rPr>
          <w:i/>
          <w:sz w:val="20"/>
        </w:rPr>
        <w:t>La exposición puede agravar algunas enfermedades</w:t>
      </w:r>
      <w:r>
        <w:rPr>
          <w:sz w:val="20"/>
        </w:rPr>
        <w:t>: el contacto con la piel puede agravar enfermedades cutáneas crónicas ya existentes.</w:t>
      </w:r>
    </w:p>
    <w:p w:rsidR="002D35A0" w:rsidRPr="002E00DB" w:rsidRDefault="002D35A0">
      <w:pPr>
        <w:pStyle w:val="BodyText"/>
        <w:spacing w:before="5"/>
        <w:ind w:left="0"/>
      </w:pPr>
    </w:p>
    <w:p w:rsidR="002D35A0" w:rsidRPr="002E00DB" w:rsidRDefault="004D49F6">
      <w:pPr>
        <w:pStyle w:val="Heading1"/>
        <w:spacing w:before="1"/>
      </w:pPr>
      <w:r>
        <w:rPr>
          <w:color w:val="FF0000"/>
        </w:rPr>
        <w:t>SECCIÓN V. Medidas para la extinción de incendios</w:t>
      </w:r>
    </w:p>
    <w:p w:rsidR="002D35A0" w:rsidRPr="002E00DB" w:rsidRDefault="004D49F6">
      <w:pPr>
        <w:spacing w:before="178"/>
        <w:ind w:left="100"/>
        <w:rPr>
          <w:sz w:val="20"/>
        </w:rPr>
      </w:pPr>
      <w:r>
        <w:rPr>
          <w:i/>
          <w:sz w:val="20"/>
        </w:rPr>
        <w:t xml:space="preserve">Medios de extinción: </w:t>
      </w:r>
      <w:r>
        <w:rPr>
          <w:sz w:val="20"/>
        </w:rPr>
        <w:t>N/C. Este producto es un agente de extinción. Es no inflamable y no combustible.</w:t>
      </w:r>
    </w:p>
    <w:p w:rsidR="002D35A0" w:rsidRPr="002E00DB" w:rsidRDefault="004D49F6">
      <w:pPr>
        <w:ind w:left="100"/>
        <w:rPr>
          <w:sz w:val="20"/>
        </w:rPr>
      </w:pPr>
      <w:r>
        <w:rPr>
          <w:i/>
          <w:sz w:val="20"/>
        </w:rPr>
        <w:t xml:space="preserve">Procedimientos especiales para la extinción de incendios: </w:t>
      </w:r>
      <w:r>
        <w:rPr>
          <w:sz w:val="20"/>
        </w:rPr>
        <w:t>N/C</w:t>
      </w:r>
    </w:p>
    <w:p w:rsidR="002D35A0" w:rsidRPr="002E00DB" w:rsidRDefault="004D49F6">
      <w:pPr>
        <w:ind w:left="100"/>
        <w:rPr>
          <w:sz w:val="20"/>
        </w:rPr>
      </w:pPr>
      <w:r>
        <w:rPr>
          <w:i/>
          <w:sz w:val="20"/>
        </w:rPr>
        <w:t xml:space="preserve">Riesgos inusuales de incendio y explosión: </w:t>
      </w:r>
      <w:r>
        <w:rPr>
          <w:sz w:val="20"/>
        </w:rPr>
        <w:t>este producto puede descomponerse en contacto con el fuego y liberar óxidos de sulfuro y nitrógeno, además de gas monóxido de carbono (consulte la Sección X).</w:t>
      </w:r>
    </w:p>
    <w:p w:rsidR="002D35A0" w:rsidRPr="002E00DB" w:rsidRDefault="004D49F6">
      <w:pPr>
        <w:spacing w:line="228" w:lineRule="exact"/>
        <w:ind w:left="100"/>
        <w:rPr>
          <w:sz w:val="20"/>
        </w:rPr>
      </w:pPr>
      <w:r>
        <w:rPr>
          <w:i/>
          <w:sz w:val="20"/>
        </w:rPr>
        <w:t xml:space="preserve">Sensibilidad al impacto mecánico o descarga estática: </w:t>
      </w:r>
      <w:r>
        <w:rPr>
          <w:sz w:val="20"/>
        </w:rPr>
        <w:t>ninguna</w:t>
      </w:r>
      <w:r w:rsidR="00FE1851">
        <w:rPr>
          <w:sz w:val="20"/>
        </w:rPr>
        <w:t>.</w:t>
      </w:r>
    </w:p>
    <w:p w:rsidR="002D35A0" w:rsidRPr="002E00DB" w:rsidRDefault="002D35A0">
      <w:pPr>
        <w:pStyle w:val="BodyText"/>
        <w:spacing w:before="6"/>
        <w:ind w:left="0"/>
      </w:pPr>
    </w:p>
    <w:p w:rsidR="002D35A0" w:rsidRPr="002E00DB" w:rsidRDefault="004D49F6">
      <w:pPr>
        <w:pStyle w:val="Heading1"/>
      </w:pPr>
      <w:r>
        <w:rPr>
          <w:color w:val="FF0000"/>
        </w:rPr>
        <w:t>SECCIÓN VI. Medidas en caso de liberación accidental</w:t>
      </w:r>
    </w:p>
    <w:p w:rsidR="002D35A0" w:rsidRPr="002E00DB" w:rsidRDefault="004D49F6">
      <w:pPr>
        <w:spacing w:before="181" w:line="229" w:lineRule="exact"/>
        <w:ind w:left="100"/>
        <w:rPr>
          <w:sz w:val="20"/>
        </w:rPr>
      </w:pPr>
      <w:r>
        <w:rPr>
          <w:i/>
          <w:sz w:val="20"/>
        </w:rPr>
        <w:t xml:space="preserve">Medidas de precaución personales: </w:t>
      </w:r>
      <w:r w:rsidR="00FE1851">
        <w:rPr>
          <w:sz w:val="20"/>
        </w:rPr>
        <w:t>e</w:t>
      </w:r>
      <w:r>
        <w:rPr>
          <w:sz w:val="20"/>
        </w:rPr>
        <w:t>vite el contacto con los ojos y la piel.</w:t>
      </w:r>
    </w:p>
    <w:p w:rsidR="002D35A0" w:rsidRPr="002E00DB" w:rsidRDefault="004D49F6">
      <w:pPr>
        <w:pStyle w:val="BodyText"/>
        <w:ind w:right="148"/>
      </w:pPr>
      <w:r>
        <w:rPr>
          <w:i/>
        </w:rPr>
        <w:t xml:space="preserve">Medidas de precaución medioambientales: </w:t>
      </w:r>
      <w:r>
        <w:t xml:space="preserve">evite liberar grandes cantidades de producto en las cloacas o en cauces de agua. </w:t>
      </w:r>
      <w:r w:rsidR="00FE1851">
        <w:rPr>
          <w:i/>
        </w:rPr>
        <w:t>l</w:t>
      </w:r>
      <w:r>
        <w:rPr>
          <w:i/>
        </w:rPr>
        <w:t xml:space="preserve">impieza: </w:t>
      </w:r>
      <w:r>
        <w:t>barra/levante con pala el material. Colóquelo en un recipiente apropiado para eliminarlo. Los restos del material se pueden eliminar con agua.</w:t>
      </w:r>
    </w:p>
    <w:p w:rsidR="002D35A0" w:rsidRPr="002E00DB" w:rsidRDefault="002D35A0">
      <w:pPr>
        <w:pStyle w:val="BodyText"/>
        <w:spacing w:before="5"/>
        <w:ind w:left="0"/>
      </w:pPr>
    </w:p>
    <w:p w:rsidR="002D35A0" w:rsidRPr="002E00DB" w:rsidRDefault="004D49F6">
      <w:pPr>
        <w:pStyle w:val="Heading1"/>
        <w:spacing w:before="1"/>
      </w:pPr>
      <w:r>
        <w:rPr>
          <w:color w:val="FF0000"/>
        </w:rPr>
        <w:t>SECCIÓN VII. Manipulación y almacenamiento</w:t>
      </w:r>
    </w:p>
    <w:p w:rsidR="002D35A0" w:rsidRPr="002E00DB" w:rsidRDefault="004D49F6">
      <w:pPr>
        <w:pStyle w:val="BodyText"/>
        <w:spacing w:before="178"/>
        <w:ind w:right="478"/>
      </w:pPr>
      <w:r>
        <w:rPr>
          <w:i/>
        </w:rPr>
        <w:t xml:space="preserve">Manipulación segura: </w:t>
      </w:r>
      <w:r w:rsidR="00FE1851">
        <w:t>e</w:t>
      </w:r>
      <w:r>
        <w:t>vite el contacto con los ojos, el sistema respiratorio y la piel. Use el equipo de protección personal apropiado cuando manipule el producto. Lávese bien después de manipular el producto (consulte la Sección VIII).</w:t>
      </w:r>
    </w:p>
    <w:p w:rsidR="002D35A0" w:rsidRPr="002E00DB" w:rsidRDefault="002D35A0">
      <w:pPr>
        <w:pStyle w:val="BodyText"/>
        <w:spacing w:before="1"/>
        <w:ind w:left="0"/>
      </w:pPr>
    </w:p>
    <w:p w:rsidR="002D35A0" w:rsidRPr="002E00DB" w:rsidRDefault="004D49F6">
      <w:pPr>
        <w:pStyle w:val="BodyText"/>
      </w:pPr>
      <w:r>
        <w:rPr>
          <w:i/>
        </w:rPr>
        <w:t xml:space="preserve">Almacenamiento seguro: </w:t>
      </w:r>
      <w:r>
        <w:t>el producto debe almacenarse sellado en el envase original, en un área fresca y seca. Evite el calor excesivo. Úselo en áreas bien ventiladas.</w:t>
      </w:r>
    </w:p>
    <w:p w:rsidR="002D35A0" w:rsidRPr="002E00DB" w:rsidRDefault="002D35A0">
      <w:pPr>
        <w:pStyle w:val="BodyText"/>
        <w:spacing w:before="3"/>
        <w:ind w:left="0"/>
      </w:pPr>
    </w:p>
    <w:p w:rsidR="002D35A0" w:rsidRPr="002E00DB" w:rsidRDefault="004D49F6">
      <w:pPr>
        <w:pStyle w:val="Heading1"/>
        <w:spacing w:before="1"/>
      </w:pPr>
      <w:r>
        <w:rPr>
          <w:color w:val="FF0000"/>
        </w:rPr>
        <w:t>SECCIÓN VIII. Controles de exposición y protección personal</w:t>
      </w:r>
    </w:p>
    <w:p w:rsidR="002D35A0" w:rsidRPr="002E00DB" w:rsidRDefault="004D49F6">
      <w:pPr>
        <w:pStyle w:val="BodyText"/>
        <w:spacing w:before="180"/>
        <w:ind w:right="91"/>
      </w:pPr>
      <w:r>
        <w:rPr>
          <w:i/>
        </w:rPr>
        <w:t xml:space="preserve">Protección respiratoria: </w:t>
      </w:r>
      <w:r w:rsidR="00FE1851">
        <w:t>d</w:t>
      </w:r>
      <w:r>
        <w:t>urante el uso de este producto sobre el fuego, los principales riesgos respiratorios son los gases de escape y los productos de combustión incompleta. Es probable que no se necesite protección respiratoria si el uso es breve y en áreas bien ventiladas. Las exposiciones prolongadas pueden demandar el uso de respiradores con presión de aire positiva o aparatos de respiración autocontenidos.</w:t>
      </w:r>
    </w:p>
    <w:p w:rsidR="002D35A0" w:rsidRPr="002E00DB" w:rsidRDefault="004D49F6">
      <w:pPr>
        <w:spacing w:before="184"/>
        <w:ind w:left="100"/>
        <w:rPr>
          <w:sz w:val="20"/>
        </w:rPr>
      </w:pPr>
      <w:r>
        <w:rPr>
          <w:i/>
          <w:sz w:val="20"/>
        </w:rPr>
        <w:t xml:space="preserve">Protección para los ojos: </w:t>
      </w:r>
      <w:r>
        <w:rPr>
          <w:sz w:val="20"/>
        </w:rPr>
        <w:t>use anteojos de seguridad, anteojos resistentes a los agentes químicos o protección para salpicaduras.</w:t>
      </w:r>
    </w:p>
    <w:p w:rsidR="002D35A0" w:rsidRPr="002E00DB" w:rsidRDefault="004D49F6">
      <w:pPr>
        <w:pStyle w:val="BodyText"/>
        <w:spacing w:before="183"/>
      </w:pPr>
      <w:r>
        <w:rPr>
          <w:i/>
        </w:rPr>
        <w:t xml:space="preserve">Protección para la piel: </w:t>
      </w:r>
      <w:r>
        <w:t>use guantes de nitrilo, látex o similar para minimizar el contacto con la piel. Las buenas prácticas de higiene personal son esenciales. Después de manipular el producto, evite los alimentos, los productos de tabaco u otros medios que impliquen llevar el producto de la mano a la boca hasta haberse lavado cuidadosamente.</w:t>
      </w:r>
    </w:p>
    <w:p w:rsidR="002D35A0" w:rsidRPr="002E00DB" w:rsidRDefault="002D35A0">
      <w:pPr>
        <w:pStyle w:val="BodyText"/>
        <w:spacing w:before="4"/>
        <w:ind w:left="0"/>
      </w:pPr>
    </w:p>
    <w:p w:rsidR="002D35A0" w:rsidRPr="002E00DB" w:rsidRDefault="004D49F6">
      <w:pPr>
        <w:pStyle w:val="Heading1"/>
      </w:pPr>
      <w:r>
        <w:rPr>
          <w:color w:val="FF0000"/>
        </w:rPr>
        <w:t>SECCIÓN IX. Propiedades físicas y químicas</w:t>
      </w:r>
    </w:p>
    <w:p w:rsidR="002D35A0" w:rsidRPr="002E00DB" w:rsidRDefault="004D49F6" w:rsidP="00DA3363">
      <w:pPr>
        <w:spacing w:before="181"/>
        <w:ind w:left="100"/>
        <w:rPr>
          <w:sz w:val="20"/>
        </w:rPr>
      </w:pPr>
      <w:r>
        <w:rPr>
          <w:i/>
          <w:sz w:val="20"/>
        </w:rPr>
        <w:t xml:space="preserve">Aspecto y olor: </w:t>
      </w:r>
      <w:r>
        <w:rPr>
          <w:sz w:val="20"/>
        </w:rPr>
        <w:t>forma sólida cilíndrica, de color rojo, con leve olor a amoniaco/desinfectante suave.</w:t>
      </w:r>
    </w:p>
    <w:p w:rsidR="002D35A0" w:rsidRPr="002E00DB" w:rsidRDefault="004D49F6" w:rsidP="00DA3363">
      <w:pPr>
        <w:pStyle w:val="BodyText"/>
        <w:spacing w:line="229" w:lineRule="exact"/>
      </w:pPr>
      <w:r>
        <w:rPr>
          <w:i/>
        </w:rPr>
        <w:t xml:space="preserve">pH: </w:t>
      </w:r>
      <w:r>
        <w:t>8.0 – 9.0 (solución acuosa al 5 %)</w:t>
      </w:r>
    </w:p>
    <w:p w:rsidR="002D35A0" w:rsidRPr="002E00DB" w:rsidRDefault="004D49F6" w:rsidP="00DA3363">
      <w:pPr>
        <w:spacing w:line="229" w:lineRule="exact"/>
        <w:ind w:left="100"/>
        <w:rPr>
          <w:sz w:val="20"/>
        </w:rPr>
      </w:pPr>
      <w:r>
        <w:rPr>
          <w:i/>
          <w:sz w:val="20"/>
        </w:rPr>
        <w:t>Punto de fusión</w:t>
      </w:r>
      <w:r>
        <w:rPr>
          <w:sz w:val="20"/>
        </w:rPr>
        <w:t>: &gt; 43 ºC (110 ºF). (Punto en el que el producto puede deformarse)</w:t>
      </w:r>
    </w:p>
    <w:p w:rsidR="00B7147E" w:rsidRDefault="004D49F6" w:rsidP="00DA3363">
      <w:pPr>
        <w:spacing w:before="1"/>
        <w:ind w:left="100" w:right="4230"/>
        <w:rPr>
          <w:sz w:val="20"/>
        </w:rPr>
      </w:pPr>
      <w:r>
        <w:rPr>
          <w:i/>
          <w:sz w:val="20"/>
        </w:rPr>
        <w:t xml:space="preserve">Gravedad específica: </w:t>
      </w:r>
      <w:r>
        <w:rPr>
          <w:sz w:val="20"/>
        </w:rPr>
        <w:t>1,066</w:t>
      </w:r>
    </w:p>
    <w:p w:rsidR="00B7147E" w:rsidRDefault="004D49F6" w:rsidP="00DA3363">
      <w:pPr>
        <w:spacing w:before="1"/>
        <w:ind w:left="100" w:right="4680"/>
        <w:rPr>
          <w:sz w:val="20"/>
        </w:rPr>
      </w:pPr>
      <w:r>
        <w:rPr>
          <w:i/>
          <w:sz w:val="20"/>
        </w:rPr>
        <w:t xml:space="preserve">Punto de inflamación: </w:t>
      </w:r>
      <w:r>
        <w:rPr>
          <w:sz w:val="20"/>
        </w:rPr>
        <w:t>N/C</w:t>
      </w:r>
    </w:p>
    <w:p w:rsidR="00B7147E" w:rsidRDefault="004D49F6">
      <w:pPr>
        <w:spacing w:before="1"/>
        <w:ind w:left="100" w:right="6839"/>
        <w:rPr>
          <w:sz w:val="20"/>
        </w:rPr>
      </w:pPr>
      <w:r>
        <w:rPr>
          <w:i/>
          <w:sz w:val="20"/>
        </w:rPr>
        <w:t xml:space="preserve">Inflamabilidad: </w:t>
      </w:r>
      <w:r>
        <w:rPr>
          <w:sz w:val="20"/>
        </w:rPr>
        <w:t>N/C</w:t>
      </w:r>
    </w:p>
    <w:p w:rsidR="002D35A0" w:rsidRPr="002E00DB" w:rsidRDefault="004D49F6" w:rsidP="00DA3363">
      <w:pPr>
        <w:spacing w:before="1"/>
        <w:ind w:left="100" w:right="4680"/>
        <w:rPr>
          <w:sz w:val="20"/>
        </w:rPr>
      </w:pPr>
      <w:r>
        <w:rPr>
          <w:i/>
          <w:sz w:val="20"/>
        </w:rPr>
        <w:t xml:space="preserve">Solubilidad: </w:t>
      </w:r>
      <w:r>
        <w:rPr>
          <w:sz w:val="20"/>
        </w:rPr>
        <w:t>100 %</w:t>
      </w:r>
    </w:p>
    <w:p w:rsidR="002D35A0" w:rsidRPr="002E00DB" w:rsidRDefault="004D49F6">
      <w:pPr>
        <w:pStyle w:val="Heading1"/>
      </w:pPr>
      <w:r>
        <w:rPr>
          <w:color w:val="FF0000"/>
        </w:rPr>
        <w:lastRenderedPageBreak/>
        <w:t>SECCIÓN X. Estabilidad y reactividad</w:t>
      </w:r>
    </w:p>
    <w:p w:rsidR="002D35A0" w:rsidRPr="002E00DB" w:rsidRDefault="004D49F6">
      <w:pPr>
        <w:spacing w:before="180"/>
        <w:ind w:left="100"/>
        <w:rPr>
          <w:sz w:val="20"/>
        </w:rPr>
      </w:pPr>
      <w:r>
        <w:rPr>
          <w:i/>
          <w:sz w:val="20"/>
        </w:rPr>
        <w:t xml:space="preserve">Estabilidad: </w:t>
      </w:r>
      <w:r>
        <w:rPr>
          <w:sz w:val="20"/>
        </w:rPr>
        <w:t>estable</w:t>
      </w:r>
      <w:r w:rsidR="00FE1851">
        <w:rPr>
          <w:sz w:val="20"/>
        </w:rPr>
        <w:t>.</w:t>
      </w:r>
    </w:p>
    <w:p w:rsidR="002D35A0" w:rsidRPr="002E00DB" w:rsidRDefault="004D49F6">
      <w:pPr>
        <w:ind w:left="100"/>
        <w:rPr>
          <w:sz w:val="20"/>
        </w:rPr>
      </w:pPr>
      <w:r>
        <w:rPr>
          <w:i/>
          <w:sz w:val="20"/>
        </w:rPr>
        <w:t xml:space="preserve">Incompatibilidad: </w:t>
      </w:r>
      <w:r>
        <w:rPr>
          <w:sz w:val="20"/>
        </w:rPr>
        <w:t>oxidantes y álcalis fuertes</w:t>
      </w:r>
      <w:r w:rsidR="00FE1851">
        <w:rPr>
          <w:sz w:val="20"/>
        </w:rPr>
        <w:t>.</w:t>
      </w:r>
    </w:p>
    <w:p w:rsidR="002D35A0" w:rsidRPr="002E00DB" w:rsidRDefault="004D49F6">
      <w:pPr>
        <w:spacing w:before="1" w:line="229" w:lineRule="exact"/>
        <w:ind w:left="100"/>
        <w:rPr>
          <w:sz w:val="20"/>
        </w:rPr>
      </w:pPr>
      <w:r>
        <w:rPr>
          <w:i/>
          <w:sz w:val="20"/>
        </w:rPr>
        <w:t xml:space="preserve">Productos de descomposición: </w:t>
      </w:r>
      <w:r>
        <w:rPr>
          <w:sz w:val="20"/>
        </w:rPr>
        <w:t>se pueden formar óxidos de sulfuro y nitrógeno.</w:t>
      </w:r>
    </w:p>
    <w:p w:rsidR="002D35A0" w:rsidRPr="002E00DB" w:rsidRDefault="004D49F6">
      <w:pPr>
        <w:spacing w:line="229" w:lineRule="exact"/>
        <w:ind w:left="100"/>
        <w:rPr>
          <w:sz w:val="20"/>
        </w:rPr>
      </w:pPr>
      <w:r>
        <w:rPr>
          <w:i/>
          <w:sz w:val="20"/>
        </w:rPr>
        <w:t xml:space="preserve">Condiciones que deben evitarse: </w:t>
      </w:r>
      <w:r>
        <w:rPr>
          <w:sz w:val="20"/>
        </w:rPr>
        <w:t>las temperaturas por encima de 38 ºC (100 ºF). Los productos podrían deformarse.</w:t>
      </w:r>
    </w:p>
    <w:p w:rsidR="002D35A0" w:rsidRPr="002E00DB" w:rsidRDefault="002D35A0">
      <w:pPr>
        <w:pStyle w:val="BodyText"/>
        <w:spacing w:before="7"/>
        <w:ind w:left="0"/>
        <w:rPr>
          <w:sz w:val="19"/>
        </w:rPr>
      </w:pPr>
    </w:p>
    <w:p w:rsidR="002D35A0" w:rsidRPr="002E00DB" w:rsidRDefault="004D49F6">
      <w:pPr>
        <w:pStyle w:val="Heading1"/>
        <w:spacing w:before="91"/>
      </w:pPr>
      <w:r>
        <w:rPr>
          <w:color w:val="FF0000"/>
        </w:rPr>
        <w:t>SECCIÓN XI. Información toxicológica</w:t>
      </w:r>
    </w:p>
    <w:p w:rsidR="002D35A0" w:rsidRPr="002E00DB" w:rsidRDefault="004D49F6">
      <w:pPr>
        <w:spacing w:before="178"/>
        <w:ind w:left="100"/>
        <w:rPr>
          <w:i/>
          <w:sz w:val="20"/>
        </w:rPr>
      </w:pPr>
      <w:r>
        <w:rPr>
          <w:i/>
          <w:sz w:val="20"/>
        </w:rPr>
        <w:t>Vías de entrada:</w:t>
      </w:r>
    </w:p>
    <w:p w:rsidR="002D35A0" w:rsidRPr="002E00DB" w:rsidRDefault="004D49F6">
      <w:pPr>
        <w:pStyle w:val="BodyText"/>
        <w:tabs>
          <w:tab w:val="left" w:pos="2260"/>
        </w:tabs>
        <w:ind w:left="820"/>
      </w:pPr>
      <w:r>
        <w:t>Contacto con los ojos:</w:t>
      </w:r>
      <w:r>
        <w:tab/>
        <w:t>puede causar irritación transitoria leve.</w:t>
      </w:r>
    </w:p>
    <w:p w:rsidR="002E00DB" w:rsidRDefault="004D49F6" w:rsidP="002E00DB">
      <w:pPr>
        <w:pStyle w:val="BodyText"/>
        <w:tabs>
          <w:tab w:val="left" w:pos="2260"/>
        </w:tabs>
        <w:ind w:left="820" w:right="1620"/>
      </w:pPr>
      <w:r>
        <w:t>Contacto con la piel:</w:t>
      </w:r>
      <w:r>
        <w:tab/>
        <w:t>puede causar dermatitis o irritación transitoria leve.</w:t>
      </w:r>
    </w:p>
    <w:p w:rsidR="00DA3363" w:rsidRDefault="004D49F6" w:rsidP="00DA3363">
      <w:pPr>
        <w:pStyle w:val="BodyText"/>
        <w:tabs>
          <w:tab w:val="left" w:pos="2260"/>
        </w:tabs>
        <w:ind w:left="820" w:right="180"/>
      </w:pPr>
      <w:r>
        <w:t>Inhalación:</w:t>
      </w:r>
      <w:r>
        <w:tab/>
      </w:r>
      <w:r w:rsidR="00DA3363">
        <w:tab/>
      </w:r>
      <w:r>
        <w:t>no se prevé que</w:t>
      </w:r>
      <w:r w:rsidR="00DA3363">
        <w:t xml:space="preserve"> la inhalación sea un problema.</w:t>
      </w:r>
    </w:p>
    <w:p w:rsidR="002D35A0" w:rsidRPr="002E00DB" w:rsidRDefault="004D49F6" w:rsidP="00DA3363">
      <w:pPr>
        <w:pStyle w:val="BodyText"/>
        <w:tabs>
          <w:tab w:val="left" w:pos="2260"/>
        </w:tabs>
        <w:ind w:left="820" w:right="180"/>
      </w:pPr>
      <w:r>
        <w:t>Ingestión:</w:t>
      </w:r>
      <w:r w:rsidR="00DA3363">
        <w:tab/>
      </w:r>
      <w:r>
        <w:tab/>
        <w:t>puede causar malestar gastrointestinal</w:t>
      </w:r>
      <w:r w:rsidR="00FE1851">
        <w:t>.</w:t>
      </w:r>
    </w:p>
    <w:p w:rsidR="002D35A0" w:rsidRPr="002E00DB" w:rsidRDefault="004D49F6">
      <w:pPr>
        <w:spacing w:before="184"/>
        <w:ind w:left="100"/>
        <w:rPr>
          <w:sz w:val="20"/>
        </w:rPr>
      </w:pPr>
      <w:r>
        <w:rPr>
          <w:i/>
          <w:sz w:val="20"/>
        </w:rPr>
        <w:t xml:space="preserve">Toxicidad crónica: </w:t>
      </w:r>
      <w:r>
        <w:rPr>
          <w:sz w:val="20"/>
        </w:rPr>
        <w:t>no existen datos disponibles.</w:t>
      </w:r>
    </w:p>
    <w:p w:rsidR="002D35A0" w:rsidRPr="002E00DB" w:rsidRDefault="002D35A0">
      <w:pPr>
        <w:pStyle w:val="BodyText"/>
        <w:spacing w:before="6"/>
        <w:ind w:left="0"/>
      </w:pPr>
    </w:p>
    <w:p w:rsidR="002D35A0" w:rsidRPr="002E00DB" w:rsidRDefault="004D49F6">
      <w:pPr>
        <w:pStyle w:val="Heading1"/>
      </w:pPr>
      <w:r>
        <w:rPr>
          <w:color w:val="FF0000"/>
        </w:rPr>
        <w:t>SECCIÓN XII. Información sobre ecología</w:t>
      </w:r>
    </w:p>
    <w:p w:rsidR="002D35A0" w:rsidRPr="002E00DB" w:rsidRDefault="002D35A0">
      <w:pPr>
        <w:pStyle w:val="BodyText"/>
        <w:spacing w:before="5"/>
        <w:ind w:left="0"/>
        <w:rPr>
          <w:b/>
          <w:sz w:val="19"/>
        </w:rPr>
      </w:pPr>
    </w:p>
    <w:p w:rsidR="002D35A0" w:rsidRPr="002E00DB" w:rsidRDefault="004D49F6">
      <w:pPr>
        <w:pStyle w:val="BodyText"/>
      </w:pPr>
      <w:r>
        <w:rPr>
          <w:i/>
        </w:rPr>
        <w:t xml:space="preserve">Ecotoxicidad: </w:t>
      </w:r>
      <w:r>
        <w:t>puede dañar la vida acuática debido a la falta de oxígeno a partir de la disolución del producto después del uso.</w:t>
      </w:r>
    </w:p>
    <w:p w:rsidR="002D35A0" w:rsidRPr="002E00DB" w:rsidRDefault="004D49F6">
      <w:pPr>
        <w:ind w:left="100"/>
        <w:rPr>
          <w:sz w:val="20"/>
        </w:rPr>
      </w:pPr>
      <w:r>
        <w:rPr>
          <w:i/>
          <w:sz w:val="20"/>
        </w:rPr>
        <w:t xml:space="preserve">Degradabilidad: </w:t>
      </w:r>
      <w:r>
        <w:rPr>
          <w:sz w:val="20"/>
        </w:rPr>
        <w:t>biodegradable en agua.</w:t>
      </w:r>
    </w:p>
    <w:p w:rsidR="002D35A0" w:rsidRPr="002E00DB" w:rsidRDefault="002D35A0">
      <w:pPr>
        <w:pStyle w:val="BodyText"/>
        <w:spacing w:before="6"/>
        <w:ind w:left="0"/>
      </w:pPr>
    </w:p>
    <w:p w:rsidR="002D35A0" w:rsidRPr="002E00DB" w:rsidRDefault="004D49F6">
      <w:pPr>
        <w:pStyle w:val="Heading1"/>
        <w:spacing w:before="1"/>
      </w:pPr>
      <w:r>
        <w:rPr>
          <w:color w:val="FF0000"/>
        </w:rPr>
        <w:t>SECCIÓN XIII: Consideraciones para la eliminación</w:t>
      </w:r>
    </w:p>
    <w:p w:rsidR="002D35A0" w:rsidRPr="002E00DB" w:rsidRDefault="004D49F6">
      <w:pPr>
        <w:pStyle w:val="BodyText"/>
        <w:spacing w:before="178"/>
        <w:ind w:right="140"/>
        <w:jc w:val="both"/>
      </w:pPr>
      <w:r>
        <w:t>Este producto no es un residuo típicamente peligroso ni está incluido en el listado de la RCRA. Elimine de acuerdo con las leyes estatales o locales, que pueden ser más restrictivas que las normas federales. Tenga en cuenta que el producto puede modificarse o contaminarse al usarlo en un incendio y, por lo tanto, exige consideraciones de eliminación diferentes.</w:t>
      </w:r>
    </w:p>
    <w:p w:rsidR="002D35A0" w:rsidRPr="002E00DB" w:rsidRDefault="002D35A0">
      <w:pPr>
        <w:pStyle w:val="BodyText"/>
        <w:spacing w:before="6"/>
        <w:ind w:left="0"/>
      </w:pPr>
    </w:p>
    <w:p w:rsidR="002D35A0" w:rsidRPr="002E00DB" w:rsidRDefault="004D49F6">
      <w:pPr>
        <w:pStyle w:val="Heading1"/>
      </w:pPr>
      <w:r>
        <w:rPr>
          <w:color w:val="FF0000"/>
        </w:rPr>
        <w:t>SECCIÓN XIV. Información de transporte</w:t>
      </w:r>
    </w:p>
    <w:p w:rsidR="002D35A0" w:rsidRPr="002E00DB" w:rsidRDefault="004D49F6">
      <w:pPr>
        <w:pStyle w:val="BodyText"/>
        <w:spacing w:before="178"/>
        <w:ind w:right="216"/>
        <w:jc w:val="both"/>
      </w:pPr>
      <w:r>
        <w:t>Este producto no está definido como un material peligroso según las normativas 49 CFR 172 del Departamento de Transporte de los EE. UU. y “Transporte de Mercaderías Peligrosas” del Departamento de Transporte de Canadá.</w:t>
      </w:r>
    </w:p>
    <w:p w:rsidR="002D35A0" w:rsidRPr="002E00DB" w:rsidRDefault="002D35A0">
      <w:pPr>
        <w:pStyle w:val="BodyText"/>
        <w:spacing w:before="6"/>
        <w:ind w:left="0"/>
      </w:pPr>
    </w:p>
    <w:p w:rsidR="002D35A0" w:rsidRPr="002E00DB" w:rsidRDefault="004D49F6">
      <w:pPr>
        <w:pStyle w:val="Heading1"/>
      </w:pPr>
      <w:r>
        <w:rPr>
          <w:color w:val="FF0000"/>
        </w:rPr>
        <w:t>SECCIÓN XV. Información regulatoria</w:t>
      </w:r>
    </w:p>
    <w:p w:rsidR="002D35A0" w:rsidRPr="002E00DB" w:rsidRDefault="004D49F6">
      <w:pPr>
        <w:spacing w:before="178"/>
        <w:ind w:left="100"/>
        <w:rPr>
          <w:sz w:val="20"/>
        </w:rPr>
      </w:pPr>
      <w:r>
        <w:rPr>
          <w:i/>
          <w:sz w:val="20"/>
        </w:rPr>
        <w:t xml:space="preserve">TSCA, EE. UU.: </w:t>
      </w:r>
      <w:r>
        <w:rPr>
          <w:sz w:val="20"/>
        </w:rPr>
        <w:t>incluido en el listado</w:t>
      </w:r>
      <w:r w:rsidR="00FE1851">
        <w:rPr>
          <w:sz w:val="20"/>
        </w:rPr>
        <w:t>.</w:t>
      </w:r>
    </w:p>
    <w:p w:rsidR="002D35A0" w:rsidRPr="002E00DB" w:rsidRDefault="004D49F6">
      <w:pPr>
        <w:spacing w:before="1"/>
        <w:ind w:left="100"/>
        <w:jc w:val="both"/>
        <w:rPr>
          <w:sz w:val="20"/>
        </w:rPr>
      </w:pPr>
      <w:r>
        <w:rPr>
          <w:i/>
          <w:sz w:val="20"/>
        </w:rPr>
        <w:t xml:space="preserve">Categoría de riesgo de la OSHA: </w:t>
      </w:r>
      <w:r>
        <w:rPr>
          <w:sz w:val="20"/>
        </w:rPr>
        <w:t>irritante para la piel o los ojos</w:t>
      </w:r>
      <w:r w:rsidR="00FE1851">
        <w:rPr>
          <w:sz w:val="20"/>
        </w:rPr>
        <w:t>.</w:t>
      </w:r>
    </w:p>
    <w:p w:rsidR="002D35A0" w:rsidRPr="002E00DB" w:rsidRDefault="004D49F6">
      <w:pPr>
        <w:ind w:left="100"/>
        <w:jc w:val="both"/>
        <w:rPr>
          <w:sz w:val="20"/>
        </w:rPr>
      </w:pPr>
      <w:r>
        <w:rPr>
          <w:i/>
          <w:sz w:val="20"/>
        </w:rPr>
        <w:t xml:space="preserve">Categorías de riesgo de SARA </w:t>
      </w:r>
      <w:r>
        <w:rPr>
          <w:sz w:val="20"/>
        </w:rPr>
        <w:t>311/312: grave, no peligroso.</w:t>
      </w:r>
    </w:p>
    <w:p w:rsidR="002D35A0" w:rsidRPr="002E00DB" w:rsidRDefault="002D35A0">
      <w:pPr>
        <w:pStyle w:val="BodyText"/>
        <w:spacing w:before="3"/>
        <w:ind w:left="0"/>
      </w:pPr>
    </w:p>
    <w:p w:rsidR="002D35A0" w:rsidRPr="002E00DB" w:rsidRDefault="004D49F6">
      <w:pPr>
        <w:pStyle w:val="Heading1"/>
        <w:spacing w:before="1"/>
      </w:pPr>
      <w:r>
        <w:rPr>
          <w:color w:val="FF0000"/>
        </w:rPr>
        <w:t>SECCIÓN XVI. Otra información</w:t>
      </w:r>
    </w:p>
    <w:p w:rsidR="002D35A0" w:rsidRPr="002E00DB" w:rsidRDefault="004D49F6">
      <w:pPr>
        <w:pStyle w:val="BodyText"/>
        <w:spacing w:before="180"/>
        <w:ind w:right="148"/>
      </w:pPr>
      <w:r>
        <w:t>Una parte de la información presentada y de las conclusiones obtenidas en este documento provienen de fuentes que no son datos de pruebas directas en el producto en sí mismo. La información en esta SDS se obtuvo de fuentes consideradas confiables; no obstante, la información se brindad sin ninguna garantía, ni expresa ni implícita, en cuanto a su exactitud. Las condiciones o los métodos de manipulación, almacenamiento, uso y eliminación del producto no dependen de Buckeye. Buckeye no asume ninguna responsabilidad y renuncia específicamente a cualquier obligación por pérdidas, daños o gastos que surjan de la manipulación, el almacenamiento, el uso y la eliminación del producto o estén relacionados con esto.</w:t>
      </w:r>
    </w:p>
    <w:p w:rsidR="002D35A0" w:rsidRPr="002E00DB" w:rsidRDefault="002D35A0">
      <w:pPr>
        <w:pStyle w:val="BodyText"/>
        <w:ind w:left="0"/>
      </w:pPr>
    </w:p>
    <w:p w:rsidR="002D35A0" w:rsidRPr="002E00DB" w:rsidRDefault="004D49F6">
      <w:pPr>
        <w:pStyle w:val="BodyText"/>
        <w:spacing w:before="1"/>
        <w:ind w:right="54"/>
      </w:pPr>
      <w:r>
        <w:rPr>
          <w:i/>
        </w:rPr>
        <w:t xml:space="preserve">Información general de emergencia: </w:t>
      </w:r>
      <w:r>
        <w:t>ninguna de las sustancias químicas de este producto aparece en los requisitos de informes de SARA ni contiene Cantidades para la planificación de umbrales de SARA ni Cantidades declarables de CERCLA. Este producto no está definido como peligroso según las normativas 49 CFR 172 del Departamento de Transporte de los EE. UU.  y “Transporte de Mercaderías Peligrosas” del Departamento de Transporte de Canadá.</w:t>
      </w:r>
    </w:p>
    <w:p w:rsidR="002D35A0" w:rsidRPr="002E00DB" w:rsidRDefault="004D49F6">
      <w:pPr>
        <w:pStyle w:val="BodyText"/>
        <w:spacing w:line="482" w:lineRule="auto"/>
        <w:ind w:right="4190"/>
      </w:pPr>
      <w:r>
        <w:rPr>
          <w:u w:val="single"/>
        </w:rPr>
        <w:lastRenderedPageBreak/>
        <w:t>CALIFICACIONES HMIS:</w:t>
      </w:r>
    </w:p>
    <w:p w:rsidR="002D35A0" w:rsidRPr="002E00DB" w:rsidRDefault="004D49F6">
      <w:pPr>
        <w:pStyle w:val="BodyText"/>
        <w:tabs>
          <w:tab w:val="right" w:pos="1639"/>
        </w:tabs>
        <w:spacing w:line="224" w:lineRule="exact"/>
      </w:pPr>
      <w:r>
        <w:t>Salud</w:t>
      </w:r>
      <w:r>
        <w:tab/>
        <w:t>2</w:t>
      </w:r>
    </w:p>
    <w:p w:rsidR="002D35A0" w:rsidRPr="002E00DB" w:rsidRDefault="004D49F6">
      <w:pPr>
        <w:pStyle w:val="BodyText"/>
        <w:tabs>
          <w:tab w:val="left" w:pos="1540"/>
        </w:tabs>
      </w:pPr>
      <w:r>
        <w:t>Inflamabilidad</w:t>
      </w:r>
      <w:r>
        <w:tab/>
        <w:t>0</w:t>
      </w:r>
    </w:p>
    <w:p w:rsidR="002D35A0" w:rsidRPr="002E00DB" w:rsidRDefault="004D49F6">
      <w:pPr>
        <w:pStyle w:val="BodyText"/>
        <w:tabs>
          <w:tab w:val="left" w:pos="1540"/>
        </w:tabs>
        <w:spacing w:before="1"/>
      </w:pPr>
      <w:r>
        <w:t>Reactividad</w:t>
      </w:r>
      <w:r>
        <w:tab/>
        <w:t>0</w:t>
      </w:r>
    </w:p>
    <w:p w:rsidR="002D35A0" w:rsidRPr="002E00DB" w:rsidRDefault="004D49F6">
      <w:pPr>
        <w:pStyle w:val="BodyText"/>
      </w:pPr>
      <w:r>
        <w:t xml:space="preserve">Equipo de protección personal: use protección para los ojos, guantes y protección apropiada para la piel </w:t>
      </w:r>
      <w:bookmarkStart w:id="0" w:name="_GoBack"/>
      <w:bookmarkEnd w:id="0"/>
      <w:r>
        <w:t>(consulte la Sección 8)</w:t>
      </w:r>
    </w:p>
    <w:p w:rsidR="002D35A0" w:rsidRPr="002E00DB" w:rsidRDefault="004D49F6" w:rsidP="00037A9B">
      <w:pPr>
        <w:pStyle w:val="BodyText"/>
        <w:spacing w:before="183"/>
        <w:ind w:left="820" w:hanging="720"/>
      </w:pPr>
      <w:r>
        <w:rPr>
          <w:u w:val="single"/>
        </w:rPr>
        <w:t>WHMIS</w:t>
      </w:r>
      <w:r>
        <w:t xml:space="preserve"> (Sistema Canadiense de Información de Materiales Peligrosos en el Lugar de Trabajo)</w:t>
      </w:r>
      <w:r w:rsidR="00FE1851">
        <w:br/>
      </w:r>
      <w:r>
        <w:t>D2B: puede irritar los ojos, las membranas mucosas o la piel</w:t>
      </w:r>
    </w:p>
    <w:sectPr w:rsidR="002D35A0" w:rsidRPr="002E00DB">
      <w:headerReference w:type="default" r:id="rId8"/>
      <w:footerReference w:type="default" r:id="rId9"/>
      <w:pgSz w:w="12240" w:h="15840"/>
      <w:pgMar w:top="1340" w:right="1720" w:bottom="1180" w:left="1700" w:header="727" w:footer="7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8E3" w:rsidRDefault="002C08E3">
      <w:r>
        <w:separator/>
      </w:r>
    </w:p>
  </w:endnote>
  <w:endnote w:type="continuationSeparator" w:id="0">
    <w:p w:rsidR="002C08E3" w:rsidRDefault="002C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5A0" w:rsidRDefault="002C08E3">
    <w:pPr>
      <w:pStyle w:val="BodyText"/>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85.1pt;margin-top:741.35pt;width:441.35pt;height:25.4pt;z-index:-15814656;mso-position-horizontal-relative:page;mso-position-vertical-relative:page" filled="f" stroked="f">
          <v:textbox style="mso-next-textbox:#_x0000_s2049" inset="0,0,0,0">
            <w:txbxContent>
              <w:p w:rsidR="002D35A0" w:rsidRDefault="004D49F6">
                <w:pPr>
                  <w:spacing w:before="11" w:line="250" w:lineRule="exact"/>
                  <w:jc w:val="center"/>
                  <w:rPr>
                    <w:b/>
                    <w:i/>
                  </w:rPr>
                </w:pPr>
                <w:r>
                  <w:rPr>
                    <w:b/>
                    <w:i/>
                  </w:rPr>
                  <w:t>Equipo contra incendios Buckeye</w:t>
                </w:r>
              </w:p>
              <w:p w:rsidR="002D35A0" w:rsidRDefault="004D49F6">
                <w:pPr>
                  <w:pStyle w:val="BodyText"/>
                  <w:spacing w:line="227" w:lineRule="exact"/>
                  <w:ind w:left="0"/>
                  <w:jc w:val="center"/>
                </w:pPr>
                <w:r>
                  <w:t xml:space="preserve">Página </w:t>
                </w:r>
                <w:r>
                  <w:fldChar w:fldCharType="begin"/>
                </w:r>
                <w:r>
                  <w:instrText xml:space="preserve"> PAGE </w:instrText>
                </w:r>
                <w:r>
                  <w:fldChar w:fldCharType="separate"/>
                </w:r>
                <w:r w:rsidR="00FE1851">
                  <w:rPr>
                    <w:noProof/>
                  </w:rPr>
                  <w:t>3</w:t>
                </w:r>
                <w:r>
                  <w:fldChar w:fldCharType="end"/>
                </w:r>
                <w:r>
                  <w:t xml:space="preserve"> de </w:t>
                </w:r>
                <w:r w:rsidR="00037A9B">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8E3" w:rsidRDefault="002C08E3">
      <w:r>
        <w:separator/>
      </w:r>
    </w:p>
  </w:footnote>
  <w:footnote w:type="continuationSeparator" w:id="0">
    <w:p w:rsidR="002C08E3" w:rsidRDefault="002C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5A0" w:rsidRDefault="002C08E3">
    <w:pPr>
      <w:pStyle w:val="BodyText"/>
      <w:spacing w:line="14" w:lineRule="auto"/>
      <w:ind w:left="0"/>
    </w:pPr>
    <w:r>
      <w:pict>
        <v:shapetype id="_x0000_t202" coordsize="21600,21600" o:spt="202" path="m,l,21600r21600,l21600,xe">
          <v:stroke joinstyle="miter"/>
          <v:path gradientshapeok="t" o:connecttype="rect"/>
        </v:shapetype>
        <v:shape id="_x0000_s2050" type="#_x0000_t202" style="position:absolute;margin-left:85.1pt;margin-top:35.35pt;width:441.35pt;height:28.05pt;z-index:-15815168;mso-position-horizontal-relative:page;mso-position-vertical-relative:page" filled="f" stroked="f">
          <v:textbox style="mso-next-textbox:#_x0000_s2050" inset="0,0,0,0">
            <w:txbxContent>
              <w:p w:rsidR="002D35A0" w:rsidRDefault="004D49F6">
                <w:pPr>
                  <w:spacing w:before="10"/>
                  <w:ind w:left="1" w:right="54"/>
                  <w:jc w:val="center"/>
                  <w:rPr>
                    <w:b/>
                    <w:sz w:val="24"/>
                  </w:rPr>
                </w:pPr>
                <w:r>
                  <w:rPr>
                    <w:b/>
                    <w:sz w:val="24"/>
                  </w:rPr>
                  <w:t>FICHA DE DATOS DE SEGURIDAD</w:t>
                </w:r>
              </w:p>
              <w:p w:rsidR="002D35A0" w:rsidRDefault="004D49F6">
                <w:pPr>
                  <w:spacing w:before="1"/>
                  <w:ind w:left="1" w:right="1"/>
                  <w:jc w:val="center"/>
                  <w:rPr>
                    <w:b/>
                  </w:rPr>
                </w:pPr>
                <w:r>
                  <w:rPr>
                    <w:b/>
                  </w:rPr>
                  <w:t>BASTÓN DE ESPUMA SÓLIDA PARA EXTINGUIR INCENDIOS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D35A0"/>
    <w:rsid w:val="00037A9B"/>
    <w:rsid w:val="002C08E3"/>
    <w:rsid w:val="002D35A0"/>
    <w:rsid w:val="002E00DB"/>
    <w:rsid w:val="004D49F6"/>
    <w:rsid w:val="004D4D4A"/>
    <w:rsid w:val="00B7147E"/>
    <w:rsid w:val="00C87F74"/>
    <w:rsid w:val="00CD3F6B"/>
    <w:rsid w:val="00DA3363"/>
    <w:rsid w:val="00ED3455"/>
    <w:rsid w:val="00FE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71DCBB"/>
  <w15:docId w15:val="{61ED2265-EF6A-42E1-9C1C-2FC4E9A6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
    <w:qFormat/>
    <w:pPr>
      <w:spacing w:before="10"/>
      <w:ind w:left="1" w:right="54"/>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5"/>
      <w:ind w:left="200"/>
    </w:pPr>
  </w:style>
  <w:style w:type="paragraph" w:styleId="Header">
    <w:name w:val="header"/>
    <w:basedOn w:val="Normal"/>
    <w:link w:val="HeaderChar"/>
    <w:uiPriority w:val="99"/>
    <w:unhideWhenUsed/>
    <w:rsid w:val="00DA3363"/>
    <w:pPr>
      <w:tabs>
        <w:tab w:val="center" w:pos="4680"/>
        <w:tab w:val="right" w:pos="9360"/>
      </w:tabs>
    </w:pPr>
  </w:style>
  <w:style w:type="character" w:customStyle="1" w:styleId="HeaderChar">
    <w:name w:val="Header Char"/>
    <w:basedOn w:val="DefaultParagraphFont"/>
    <w:link w:val="Header"/>
    <w:uiPriority w:val="99"/>
    <w:rsid w:val="00DA3363"/>
    <w:rPr>
      <w:rFonts w:ascii="Times New Roman" w:eastAsia="Times New Roman" w:hAnsi="Times New Roman" w:cs="Times New Roman"/>
    </w:rPr>
  </w:style>
  <w:style w:type="paragraph" w:styleId="Footer">
    <w:name w:val="footer"/>
    <w:basedOn w:val="Normal"/>
    <w:link w:val="FooterChar"/>
    <w:uiPriority w:val="99"/>
    <w:unhideWhenUsed/>
    <w:rsid w:val="00DA3363"/>
    <w:pPr>
      <w:tabs>
        <w:tab w:val="center" w:pos="4680"/>
        <w:tab w:val="right" w:pos="9360"/>
      </w:tabs>
    </w:pPr>
  </w:style>
  <w:style w:type="character" w:customStyle="1" w:styleId="FooterChar">
    <w:name w:val="Footer Char"/>
    <w:basedOn w:val="DefaultParagraphFont"/>
    <w:link w:val="Footer"/>
    <w:uiPriority w:val="99"/>
    <w:rsid w:val="00DA336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fec@buckeye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ckeyefir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BFE</dc:creator>
  <cp:lastModifiedBy>Masaharu Matsuura</cp:lastModifiedBy>
  <cp:revision>6</cp:revision>
  <dcterms:created xsi:type="dcterms:W3CDTF">2020-10-21T20:52:00Z</dcterms:created>
  <dcterms:modified xsi:type="dcterms:W3CDTF">2020-10-28T18:28:00Z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Creator">
    <vt:lpwstr>Microsoft® Word 2013</vt:lpwstr>
  </property>
  <property fmtid="{D5CDD505-2E9C-101B-9397-08002B2CF9AE}" pid="4" name="LastSaved">
    <vt:filetime>2020-10-21T00:00:00Z</vt:filetime>
  </property>
</Properties>
</file>